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ибирская-язва-животных"/>
    <w:p>
      <w:pPr>
        <w:pStyle w:val="Heading3"/>
      </w:pPr>
      <w:r>
        <w:t xml:space="preserve">СИБИРСКАЯ ЯЗВА ЖИВОТНЫХ</w:t>
      </w:r>
    </w:p>
    <w:p>
      <w:pPr>
        <w:pStyle w:val="FirstParagraph"/>
      </w:pPr>
      <w:r>
        <w:t xml:space="preserve">26.07.2024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http://v-izm.mos.ru/the-state-veterinary-service/detail/12494626.html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Восточное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the-state-veterinary-service/detail/1249462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-izm.mos.ru" TargetMode="External" /><Relationship Type="http://schemas.openxmlformats.org/officeDocument/2006/relationships/hyperlink" Id="rId20" Target="http://v-izm.mos.ru/the-state-veterinary-service/detail/1249462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2025-06-25T11:41:25Z</dcterms:created>
  <dcterms:modified xsi:type="dcterms:W3CDTF">2025-06-25T11:41:25Z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