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c65a104dcdba767d840f24231619ab09926a69"/>
    <w:p>
      <w:pPr>
        <w:pStyle w:val="Heading3"/>
      </w:pPr>
      <w:r>
        <w:t xml:space="preserve">Протокол рассмотрения заявок в целях определения допуска к участию в открытом Конкурсе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drawing>
          <wp:inline>
            <wp:extent cx="5334000" cy="75286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протокол%2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8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09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протокол%2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773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протокол%2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http://v-izm.mos.ru/social-protection/the-notice-of-competition/detail/3418387.html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v-izm.mos.ru" TargetMode="External" /><Relationship Type="http://schemas.openxmlformats.org/officeDocument/2006/relationships/hyperlink" Id="rId29" Target="http://v-izm.mos.ru/social-protection/the-notice-of-competition/detail/3418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-izm.mos.ru" TargetMode="External" /><Relationship Type="http://schemas.openxmlformats.org/officeDocument/2006/relationships/hyperlink" Id="rId29" Target="http://v-izm.mos.ru/social-protection/the-notice-of-competition/detail/3418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2024-08-02T13:04:15Z</dcterms:created>
  <dcterms:modified xsi:type="dcterms:W3CDTF">2024-08-02T13:04:15Z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