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e6df6e44f3df1f86b296440b57bbb6cd0401"/>
    <w:p>
      <w:pPr>
        <w:pStyle w:val="Heading3"/>
      </w:pPr>
      <w:r>
        <w:t xml:space="preserve">Информация о дате, месте, времени вскрытия заявок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t xml:space="preserve">Конверты с заявками на участие в открытом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будут вскрыты на открытом заседании конкурсной комиссии 29 июля 2022 года по адресу Заказчика: город Москва, 15-я Парковая ул., д.23а, каб.104.</w:t>
      </w:r>
    </w:p>
    <w:p>
      <w:pPr>
        <w:pStyle w:val="BodyText"/>
      </w:pPr>
      <w:r>
        <w:t xml:space="preserve">Начало заседания – 16:15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http://v-izm.mos.ru/social-protection/the-notice-of-competition/detail/10951436.html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10951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10951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2025-04-30T01:17:29Z</dcterms:created>
  <dcterms:modified xsi:type="dcterms:W3CDTF">2025-04-30T01:17:29Z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