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fde92bb61c65628276cfd05be37d50383581c"/>
    <w:p>
      <w:pPr>
        <w:pStyle w:val="Heading3"/>
      </w:pPr>
      <w:r>
        <w:t xml:space="preserve">Конкурсная документация по адресу: г. Москва, Сиреневый бульвар, д. 46/35, корп.4</w:t>
      </w:r>
    </w:p>
    <w:p>
      <w:pPr>
        <w:pStyle w:val="FirstParagraph"/>
      </w:pPr>
      <w:r>
        <w:t xml:space="preserve">30.06.2022</w:t>
      </w:r>
    </w:p>
    <w:p>
      <w:pPr>
        <w:pStyle w:val="BodyText"/>
      </w:pPr>
      <w:hyperlink r:id="rId20">
        <w:r>
          <w:rPr>
            <w:rStyle w:val="Hyperlink"/>
          </w:rPr>
          <w:t xml:space="preserve">Конкурсная документация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http://v-izm.mos.ru/social-protection/the-notice-of-competition/detail/10907030.html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_009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07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_009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social-protection/the-notice-of-competition/detail/10907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2024-09-10T02:24:57Z</dcterms:created>
  <dcterms:modified xsi:type="dcterms:W3CDTF">2024-09-10T02:24:57Z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