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e057a5c7cf78cb0201fc2ddd8c728aa2d6b63"/>
    <w:p>
      <w:pPr>
        <w:pStyle w:val="Heading3"/>
      </w:pPr>
      <w:r>
        <w:t xml:space="preserve">Сегодня, 29 января помощником Измайловского межрайонного прокурора г. Москвы проведена проверка соблюдения требований федерального законодательства по учёту лекарственных препаратов в ГБУ г. Москвы «Социальный дом Северное Измайлово.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t xml:space="preserve">В ходе проверки особое внимание уделено введению информации о лекарственных препаратах в Федеральную Государственную информационную систему «Мониторинг движения лекарственных препаратов».</w:t>
      </w:r>
    </w:p>
    <w:p>
      <w:pPr>
        <w:pStyle w:val="BodyText"/>
      </w:pPr>
      <w:r>
        <w:t xml:space="preserve">По окончанию надзорного мероприятия межрайонной прокуратурой внесено представление об устранении выявленных нарушений.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http://v-izm.mos.ru/prok/detail/13074866.html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ok/detail/130748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ok/detail/130748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2025-07-04T04:57:38Z</dcterms:created>
  <dcterms:modified xsi:type="dcterms:W3CDTF">2025-07-04T04:57:38Z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