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11958906ba0548107ac0e03dc55203a36340db"/>
    <w:p>
      <w:pPr>
        <w:pStyle w:val="Heading3"/>
      </w:pPr>
      <w:r>
        <w:t xml:space="preserve">Всероссийский конкурс лучших практик трудоустройства молодежи стартовал в столице</w:t>
      </w:r>
    </w:p>
    <w:p>
      <w:pPr>
        <w:pStyle w:val="FirstParagraph"/>
      </w:pPr>
      <w:r>
        <w:t xml:space="preserve">03.07.2025</w:t>
      </w:r>
    </w:p>
    <w:p>
      <w:pPr>
        <w:pStyle w:val="BodyText"/>
      </w:pPr>
      <w:r>
        <w:t xml:space="preserve">Конкурс организуется Минтрудом России четвертый раз во исполнение Долгосрочной программы содействия занятости молодежи на период до 2030 года, утвержденной распоряжением Правительства Российской Федерации</w:t>
      </w:r>
      <w:r>
        <w:br/>
      </w:r>
      <w:r>
        <w:t xml:space="preserve">от 14 декабря 2021 г. № 3581-р, и национального проекта «Кадры».</w:t>
      </w:r>
    </w:p>
    <w:p>
      <w:pPr>
        <w:pStyle w:val="BodyText"/>
      </w:pPr>
      <w:r>
        <w:rPr>
          <w:u w:val="single"/>
          <w:bCs/>
          <w:b/>
        </w:rPr>
        <w:t xml:space="preserve">Цель Конкурса</w:t>
      </w:r>
      <w:r>
        <w:t xml:space="preserve"> </w:t>
      </w:r>
      <w:r>
        <w:t xml:space="preserve">– выявление лучших практик в сфере трудоустройства молодежи.</w:t>
      </w:r>
    </w:p>
    <w:p>
      <w:pPr>
        <w:pStyle w:val="BodyText"/>
      </w:pPr>
      <w:r>
        <w:rPr>
          <w:bCs/>
          <w:b/>
        </w:rPr>
        <w:t xml:space="preserve">Принять участие</w:t>
      </w:r>
      <w:r>
        <w:t xml:space="preserve"> </w:t>
      </w:r>
      <w:r>
        <w:t xml:space="preserve">в Конкурсе могут представители следующих организаций, осуществляющие трудоустройство молодежи в различных сферах экономики на территории Российской Федерации:</w:t>
      </w:r>
    </w:p>
    <w:p>
      <w:pPr>
        <w:pStyle w:val="BodyText"/>
      </w:pPr>
      <w:r>
        <w:t xml:space="preserve">· коммерческих организаций;</w:t>
      </w:r>
    </w:p>
    <w:p>
      <w:pPr>
        <w:pStyle w:val="BodyText"/>
      </w:pPr>
      <w:r>
        <w:t xml:space="preserve">· индивидуальных предпринимателей;</w:t>
      </w:r>
    </w:p>
    <w:p>
      <w:pPr>
        <w:pStyle w:val="BodyText"/>
      </w:pPr>
      <w:r>
        <w:t xml:space="preserve">· некоммерческих организаций;</w:t>
      </w:r>
    </w:p>
    <w:p>
      <w:pPr>
        <w:pStyle w:val="BodyText"/>
      </w:pPr>
      <w:r>
        <w:t xml:space="preserve">· образовательных организаций;</w:t>
      </w:r>
    </w:p>
    <w:p>
      <w:pPr>
        <w:pStyle w:val="BodyText"/>
      </w:pPr>
      <w:r>
        <w:t xml:space="preserve">· государственных и муниципальных учреждений;</w:t>
      </w:r>
    </w:p>
    <w:p>
      <w:pPr>
        <w:pStyle w:val="BodyText"/>
      </w:pPr>
      <w:r>
        <w:t xml:space="preserve">· государственных корпораций;</w:t>
      </w:r>
    </w:p>
    <w:p>
      <w:pPr>
        <w:pStyle w:val="BodyText"/>
      </w:pPr>
      <w:r>
        <w:t xml:space="preserve">· органов местного самоуправления, органов исполнительной власти субъектов Российской Федерации;</w:t>
      </w:r>
    </w:p>
    <w:p>
      <w:pPr>
        <w:pStyle w:val="BodyText"/>
      </w:pPr>
      <w:r>
        <w:t xml:space="preserve">· федеральных органов исполнительной власти.</w:t>
      </w:r>
    </w:p>
    <w:p>
      <w:pPr>
        <w:pStyle w:val="BodyText"/>
      </w:pPr>
      <w:r>
        <w:rPr>
          <w:u w:val="single"/>
          <w:bCs/>
          <w:b/>
        </w:rPr>
        <w:t xml:space="preserve">Сроки проведения конкурса</w:t>
      </w:r>
    </w:p>
    <w:p>
      <w:pPr>
        <w:pStyle w:val="BodyText"/>
      </w:pPr>
      <w:r>
        <w:rPr>
          <w:u w:val="single"/>
        </w:rPr>
        <w:t xml:space="preserve">Этап 1. Подача заявок на участие в Конкурсе</w:t>
      </w:r>
    </w:p>
    <w:p>
      <w:pPr>
        <w:pStyle w:val="BodyText"/>
      </w:pPr>
      <w:r>
        <w:t xml:space="preserve">Участники Конкурса подают заявки в период с 23 июня по 31 августа 2025 г. на участие в Конкурсе путем заполнения соответствующей формы заявки на сайте Минтруда России с приложением необходимых материалов.</w:t>
      </w:r>
    </w:p>
    <w:p>
      <w:pPr>
        <w:pStyle w:val="BodyText"/>
      </w:pPr>
      <w:r>
        <w:rPr>
          <w:u w:val="single"/>
        </w:rPr>
        <w:t xml:space="preserve">Этап 2. Оценка практик экспертным советом</w:t>
      </w:r>
      <w:r>
        <w:t xml:space="preserve"> </w:t>
      </w:r>
      <w:r>
        <w:t xml:space="preserve">пройдет в период с 8 сентября по 19 октября 2025 г.</w:t>
      </w:r>
    </w:p>
    <w:p>
      <w:pPr>
        <w:pStyle w:val="BodyText"/>
      </w:pPr>
      <w:r>
        <w:rPr>
          <w:u w:val="single"/>
        </w:rPr>
        <w:t xml:space="preserve">Этап 3. Финальный этап</w:t>
      </w:r>
      <w:r>
        <w:t xml:space="preserve"> </w:t>
      </w:r>
      <w:r>
        <w:t xml:space="preserve">Конкурса пройдет с 3 по 4 декабря 2025 г., на котором конкурсанты в очном формате презентуют заявленные практики.</w:t>
      </w:r>
    </w:p>
    <w:p>
      <w:pPr>
        <w:pStyle w:val="BodyText"/>
      </w:pPr>
      <w:r>
        <w:rPr>
          <w:u w:val="single"/>
        </w:rPr>
        <w:t xml:space="preserve">Этап 4. Подведение итогов и церемония закрытия Конкурса</w:t>
      </w:r>
      <w:r>
        <w:t xml:space="preserve"> </w:t>
      </w:r>
      <w:r>
        <w:t xml:space="preserve">состоится</w:t>
      </w:r>
      <w:r>
        <w:br/>
      </w:r>
      <w:r>
        <w:t xml:space="preserve">5 декабря 2025 г. в очном формате в городе Москве.</w:t>
      </w:r>
    </w:p>
    <w:p>
      <w:pPr>
        <w:pStyle w:val="BodyText"/>
      </w:pPr>
      <w:r>
        <w:rPr>
          <w:bCs/>
          <w:b/>
        </w:rPr>
        <w:t xml:space="preserve">В рамках Конкурса предусмотрены следующие номинации</w:t>
      </w:r>
      <w:r>
        <w:t xml:space="preserve">, которые будут оцениваться по штатной численности сотрудников в организации:</w:t>
      </w:r>
    </w:p>
    <w:p>
      <w:pPr>
        <w:pStyle w:val="BodyText"/>
      </w:pPr>
      <w:r>
        <w:t xml:space="preserve">· «Команда без границ: эффективные решения в инклюзивном трудоустройстве»</w:t>
      </w:r>
    </w:p>
    <w:p>
      <w:pPr>
        <w:pStyle w:val="BodyText"/>
      </w:pPr>
      <w:r>
        <w:t xml:space="preserve">Номинация направлена на поддержку и развитие практик, обеспечивающих трудоустройство молодежи из уязвимых групп, таких как инвалиды, граждане с ограниченными возможностями здоровья, ветераны боевых действий, принимавшие участие в специальной военной операции, дети-сироты и лица, освободившиеся из мест лишения свободы. В рамках этой номинации оцениваются инициативы и проекты, которые способствуют созданию инклюзивной среды на рынке труда, обеспечивают доступ к профессиональному обучению и трудовой деятельности, а также помогают преодолеть барьеры, с которыми сталкиваются такие молодые люди.</w:t>
      </w:r>
    </w:p>
    <w:p>
      <w:pPr>
        <w:pStyle w:val="BodyText"/>
      </w:pPr>
      <w:r>
        <w:t xml:space="preserve">· «Регион-магнит: лучшие практики привлечения молодежной аудитории»</w:t>
      </w:r>
    </w:p>
    <w:p>
      <w:pPr>
        <w:pStyle w:val="BodyText"/>
      </w:pPr>
      <w:r>
        <w:t xml:space="preserve">Номинация направлена на выявление практик, которые не только удерживают молодежь в регионе, но и привлекают таланты из других территорий через создание условий для профессиональной и личной самореализации. Успешные проекты в этой номинации сочетают в себе образовательные и карьерные инициативы. Такие практики формируют долгосрочную лояльность молодежи к региону, укрепляют кадровый резерв и повышают инвестиционную привлекательность территории.</w:t>
      </w:r>
    </w:p>
    <w:p>
      <w:pPr>
        <w:pStyle w:val="BodyText"/>
      </w:pPr>
      <w:r>
        <w:t xml:space="preserve">· «Двойное преимущество: эффективные модели взаимодействия образования и бизнеса»</w:t>
      </w:r>
    </w:p>
    <w:p>
      <w:pPr>
        <w:pStyle w:val="BodyText"/>
      </w:pPr>
      <w:r>
        <w:t xml:space="preserve">Номинация призвана выявить и отметить лучшие практики сотрудничества между образовательными организациями и работодателями, направленные на повышение качества профессиональной подготовки молодежи и обеспечение эффективного трудоустройства выпускников. Успешные примеры взаимодействия в этой области демонстрируют, важность партнерства между образованием и бизнесом для подготовки конкурентоспособных специалистов, готовых к вызовам современного рынка труда.</w:t>
      </w:r>
    </w:p>
    <w:p>
      <w:pPr>
        <w:pStyle w:val="BodyText"/>
      </w:pPr>
      <w:r>
        <w:t xml:space="preserve">· «Твой компас в мире профессий: эффективные практики работодателей»</w:t>
      </w:r>
    </w:p>
    <w:p>
      <w:pPr>
        <w:pStyle w:val="BodyText"/>
      </w:pPr>
      <w:r>
        <w:t xml:space="preserve">Номинация посвящена оценке и признанию лучших практик работодателей в области профориентационной работы с молодежью. Основной упор делается на выявление и распространение успешных моделей взаимодействия работодателей с образовательными учреждениями, в сфере профессиональной ориентации и подготовки будущих специалистов. Значимость номинации заключается в формировании позитивного опыта профориентационной деятельности, который может быть тиражирован другими работодателями для решения задач кадрового обеспечения и развития профессионального потенциала молодежи.</w:t>
      </w:r>
    </w:p>
    <w:p>
      <w:pPr>
        <w:pStyle w:val="BodyText"/>
      </w:pPr>
      <w:r>
        <w:t xml:space="preserve">· «Путь к призванию: инновационные методики образовательных организаций в профориентационной работе»</w:t>
      </w:r>
    </w:p>
    <w:p>
      <w:pPr>
        <w:pStyle w:val="BodyText"/>
      </w:pPr>
      <w:r>
        <w:t xml:space="preserve">Номинация направлена на выявление и поддержку передовых практик образовательных учреждений в формировании осознанного профессионального выбора учащихся через современные профориентационные технологии. Целью является распространение успешных моделей профориентации, объединяющие классические методы с цифровыми сервисами, проектными форматами и ранней специализацией.</w:t>
      </w:r>
    </w:p>
    <w:p>
      <w:pPr>
        <w:pStyle w:val="BodyText"/>
      </w:pPr>
      <w:r>
        <w:t xml:space="preserve">· «Молодые таланты или молодые лидеры в ключевых приоритетных отраслях»</w:t>
      </w:r>
    </w:p>
    <w:p>
      <w:pPr>
        <w:pStyle w:val="BodyText"/>
      </w:pPr>
      <w:r>
        <w:t xml:space="preserve">Номинация направлена на выявление эффективных практик интеграции молодежи в стратегически значимые для экономики отрасли. Целью является поддержка проектов, формирующий кадровый резерв для ключевых секторов экономики через создание условий для профессионального роста молодежи и ее закрепления на предприятиях. Значимость номинации — укрепление кадрового суверенитета страны, обеспечение преемственности в наукоемких и промышленных отраслях, а также повышение их привлекательности для нового поколения специалистов.</w:t>
      </w:r>
    </w:p>
    <w:p>
      <w:pPr>
        <w:pStyle w:val="BodyText"/>
      </w:pPr>
      <w:r>
        <w:t xml:space="preserve">· «Смелые шаги к успеху: Трудоустройство подростков как старт в карьеру»</w:t>
      </w:r>
    </w:p>
    <w:p>
      <w:pPr>
        <w:pStyle w:val="BodyText"/>
      </w:pPr>
      <w:r>
        <w:t xml:space="preserve">Номинация призвана выделить инновационные подходы к легальному и безопасному вовлечению несовершеннолетних граждан 14-18 лет в трудовую деятельность, обеспечивающую их профессиональное самоопределение и социальную адаптацию. Целью данной номинации является поддержание проектов, формирующих возможности для профессионального старта подростков через ранний трудовой опыт с соблюдением норм российского законодательства. Значимость номинации — формирование культуры «ответственного работодателя» и преодоление стереотипов о детском труде.</w:t>
      </w:r>
    </w:p>
    <w:p>
      <w:pPr>
        <w:pStyle w:val="BodyText"/>
      </w:pPr>
      <w:r>
        <w:t xml:space="preserve">· «Наставник PRO: эффективные практики развития молодых профессионалов»</w:t>
      </w:r>
    </w:p>
    <w:p>
      <w:pPr>
        <w:pStyle w:val="BodyText"/>
      </w:pPr>
      <w:r>
        <w:t xml:space="preserve">Номинация посвящена практикам, направленным на сопровождение и поддержку молодых специалистов в процессе их карьерного роста и профессионального развития. Номинация подчеркивает важность наставничества и системного подхода к построению карьерной траектории, что способствует успешной интеграции молодежи в рабочую среду.</w:t>
      </w:r>
    </w:p>
    <w:p>
      <w:pPr>
        <w:pStyle w:val="BodyText"/>
      </w:pPr>
      <w:r>
        <w:t xml:space="preserve">· «Погружение в профессию: как стажировки становятся мостом к успешной карьере»</w:t>
      </w:r>
    </w:p>
    <w:p>
      <w:pPr>
        <w:pStyle w:val="BodyText"/>
      </w:pPr>
      <w:r>
        <w:t xml:space="preserve">Данная номинация акцентирует внимание на значимости адаптации молодежи на первом рабочем месте и роли стажировок как ключевого инструмента, способствующего успешному вовлечению молодых специалистов в трудовую деятельность. Номинация подчеркивает, что правильная адаптация и опыт стажировок могут стать важным мостом к успешной карьере, что в конечном итоге способствует повышению уровня занятости среди молодежи.</w:t>
      </w:r>
    </w:p>
    <w:p>
      <w:pPr>
        <w:pStyle w:val="BodyText"/>
      </w:pPr>
      <w:r>
        <w:t xml:space="preserve">· «Молодежь в центре внимания: формирование уникальной корпоративной культуры для нового поколения»</w:t>
      </w:r>
    </w:p>
    <w:p>
      <w:pPr>
        <w:pStyle w:val="BodyText"/>
      </w:pPr>
      <w:r>
        <w:t xml:space="preserve">Номинация посвящена развитию корпоративной молодежной культуры в организациях, подчеркивая важность создания среды, отвечающей потребностям и ожиданиям молодежи. Уникальная корпоративная культура становится важным фактором привлечения и удержания молодых специалистов, а также способствует их вовлеченности и продуктивности.</w:t>
      </w:r>
    </w:p>
    <w:p>
      <w:pPr>
        <w:pStyle w:val="BodyText"/>
      </w:pPr>
      <w:r>
        <w:t xml:space="preserve">· «Труд крут: коллаборации работодателей и Российских студенческих отрядов»</w:t>
      </w:r>
    </w:p>
    <w:p>
      <w:pPr>
        <w:pStyle w:val="BodyText"/>
      </w:pPr>
      <w:r>
        <w:t xml:space="preserve">Номинация посвящена эффективному взаимодействию между работодателями и студенческими отрядами, выделяя роль такого сотрудничества в трудоустройстве молодежи. Студенческие отряды представляют собой уникальную платформу, где молодые люди могут не только заработать, но и получить ценный опыт, развивая свои навыки и профессиональные компетенции. Данная номинация подчеркивает важность сотрудничества между образовательными учреждениями и бизнесом для формирования квалифицированной и конкурентоспособной молодежи, готовой к вызовам современного рынка труда.</w:t>
      </w:r>
    </w:p>
    <w:p>
      <w:pPr>
        <w:pStyle w:val="BodyText"/>
      </w:pPr>
      <w:r>
        <w:t xml:space="preserve">Участники будут разделены по штатной численности организации:</w:t>
      </w:r>
    </w:p>
    <w:p>
      <w:pPr>
        <w:pStyle w:val="BodyText"/>
      </w:pPr>
      <w:r>
        <w:t xml:space="preserve">· до 100 человек;</w:t>
      </w:r>
    </w:p>
    <w:p>
      <w:pPr>
        <w:pStyle w:val="BodyText"/>
      </w:pPr>
      <w:r>
        <w:t xml:space="preserve">· от 101 до 500 человек;</w:t>
      </w:r>
    </w:p>
    <w:p>
      <w:pPr>
        <w:pStyle w:val="BodyText"/>
      </w:pPr>
      <w:r>
        <w:t xml:space="preserve">· от 501 до 1000 человек;</w:t>
      </w:r>
    </w:p>
    <w:p>
      <w:pPr>
        <w:pStyle w:val="BodyText"/>
      </w:pPr>
      <w:r>
        <w:t xml:space="preserve">· от 1001 и более человек.</w:t>
      </w:r>
    </w:p>
    <w:p>
      <w:pPr>
        <w:pStyle w:val="BodyText"/>
      </w:pPr>
      <w:r>
        <w:t xml:space="preserve">Для номинации «Путь к призванию: инновационные методики образовательных организаций в профориентационной работе» предусмотрено разделение по типам образовательных организаций:</w:t>
      </w:r>
    </w:p>
    <w:p>
      <w:pPr>
        <w:pStyle w:val="BodyText"/>
      </w:pPr>
      <w:r>
        <w:t xml:space="preserve">· общеобразовательная организация;</w:t>
      </w:r>
    </w:p>
    <w:p>
      <w:pPr>
        <w:pStyle w:val="BodyText"/>
      </w:pPr>
      <w:r>
        <w:t xml:space="preserve">· профессиональная образовательная организация;</w:t>
      </w:r>
    </w:p>
    <w:p>
      <w:pPr>
        <w:pStyle w:val="BodyText"/>
      </w:pPr>
      <w:r>
        <w:t xml:space="preserve">· образовательная организация высшего образования.</w:t>
      </w:r>
    </w:p>
    <w:p>
      <w:pPr>
        <w:pStyle w:val="BodyText"/>
      </w:pPr>
      <w:r>
        <w:t xml:space="preserve">Победителями определяются участники по штатной численности организации в каждой номинации.</w:t>
      </w:r>
    </w:p>
    <w:p>
      <w:pPr>
        <w:pStyle w:val="BodyText"/>
      </w:pPr>
      <w:r>
        <w:t xml:space="preserve">Информация о реализации этапов Конкурса будет размешена на данной странице сайта Минтруда России.</w:t>
      </w:r>
    </w:p>
    <w:p>
      <w:pPr>
        <w:pStyle w:val="BodyText"/>
      </w:pPr>
      <w:r>
        <w:t xml:space="preserve">Лучшие практики будут опубликованы на сайте Минтруда России.</w:t>
      </w:r>
    </w:p>
    <w:p>
      <w:pPr>
        <w:pStyle w:val="BodyText"/>
      </w:pPr>
      <w:r>
        <w:t xml:space="preserve">Дополнительную информацию о Конкурсе можно уточнить телефону:</w:t>
      </w:r>
      <w:r>
        <w:br/>
      </w:r>
      <w:r>
        <w:t xml:space="preserve">8 (495) 917 79 48.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http://v-izm.mos.ru/presscenter/official/detail/13081599.html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official/detail/130815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official/detail/130815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2025-07-03T20:45:34Z</dcterms:created>
  <dcterms:modified xsi:type="dcterms:W3CDTF">2025-07-03T20:45:34Z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