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577bcae8f3df111b3eb20bf800d15bda60488"/>
    <w:p>
      <w:pPr>
        <w:pStyle w:val="Heading3"/>
      </w:pPr>
      <w:r>
        <w:t xml:space="preserve">При назначении административного наказания юридическому лицу за совершенное административное правонарушение должно ли быть наказано виновное физическое лицо?</w:t>
      </w:r>
    </w:p>
    <w:p>
      <w:pPr>
        <w:pStyle w:val="FirstParagraph"/>
      </w:pPr>
      <w:r>
        <w:t xml:space="preserve">13.03.2014</w:t>
      </w:r>
    </w:p>
    <w:p>
      <w:pPr>
        <w:pStyle w:val="BodyText"/>
      </w:pPr>
      <w:r>
        <w:rPr>
          <w:bCs/>
          <w:b/>
        </w:rPr>
        <w:t xml:space="preserve">Прокуратура ВАО разъясняет:</w:t>
      </w:r>
    </w:p>
    <w:p>
      <w:pPr>
        <w:pStyle w:val="BodyText"/>
      </w:pPr>
      <w:r>
        <w:t xml:space="preserve">Направляется информация с разъяснениями актуальных вопросов законодательства в формате «вопрос-ответ».</w:t>
      </w:r>
    </w:p>
    <w:p>
      <w:pPr>
        <w:pStyle w:val="BodyText"/>
      </w:pPr>
      <w:r>
        <w:t xml:space="preserve">Вопрос: «При назначении административного наказания юридическому лицу за совершенное административное правонарушение должно ли быть наказано виновное физическое лицо?»</w:t>
      </w:r>
    </w:p>
    <w:p>
      <w:pPr>
        <w:pStyle w:val="BodyText"/>
      </w:pPr>
      <w:r>
        <w:t xml:space="preserve">Ответ: «В соответствии с п. 2.1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http://v-izm.mos.ru/presscenter/news/detail/974831.html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74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74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2024-08-30T23:33:18Z</dcterms:created>
  <dcterms:modified xsi:type="dcterms:W3CDTF">2024-08-30T23:33:18Z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