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316d3a317aec240b709032483acffb9b54eff"/>
    <w:p>
      <w:pPr>
        <w:pStyle w:val="Heading3"/>
      </w:pPr>
      <w:r>
        <w:t xml:space="preserve">Прокуратурой Восточного административного округа города Москвы проведена проверка исполнения законодательства об авторских и смежных правах в ресторане «Жемчужина»</w:t>
      </w:r>
    </w:p>
    <w:p>
      <w:pPr>
        <w:pStyle w:val="FirstParagraph"/>
      </w:pPr>
      <w:r>
        <w:t xml:space="preserve">12.02.2014</w:t>
      </w:r>
    </w:p>
    <w:p>
      <w:pPr>
        <w:pStyle w:val="BodyText"/>
      </w:pPr>
      <w:r>
        <w:t xml:space="preserve">Прокуратурой Восточного административного округа города Москвы проведена проверка исполнения законодательства об авторских и смежных правах в ресторане «Жемчужина» ООО «Жемчужина», расположенном по адресу: г.Москва, ул. Б.Семеновская, д.11 стр.3.</w:t>
      </w:r>
    </w:p>
    <w:p>
      <w:pPr>
        <w:pStyle w:val="BodyText"/>
      </w:pPr>
      <w:r>
        <w:t xml:space="preserve">В ходе проведенной проверки установлено, что в нарушение требований ст. 1326 ГК РФ в ресторане «Жемчужина» ООО «Жемчужина», расположенном по адресу: г.Москва, ул. Б. Семеновская, д.11, стр.3, непосредственно в залах для приема пищи, Обществом в целях извлечения выгоды осуществлялось публичное исполнение фонограмм, без выплаты вознаграждения правообладателям.</w:t>
      </w:r>
    </w:p>
    <w:p>
      <w:pPr>
        <w:pStyle w:val="BodyText"/>
      </w:pPr>
      <w:r>
        <w:t xml:space="preserve">В связи с выявленными нарушениями прокурором административного округа в отношении юридического лица и руководителя Общества возбуждео два дела об административном правонарушении, предусмотренном ч.1 ст.7.12 КоАП РФ, материалы направлены на рассмотрение мировому судье.</w:t>
      </w:r>
    </w:p>
    <w:p>
      <w:pPr>
        <w:pStyle w:val="BodyText"/>
      </w:pPr>
      <w:r>
        <w:t xml:space="preserve">Кроме того, в адрес генерального директора ООО «Жемчужина» внесено представление об устранении нарушений законодательства об авторских и смежных правах, по результатам рассмотрения которого одно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http://v-izm.mos.ru/presscenter/news/detail/949587.html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49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49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2024-09-16T22:40:10Z</dcterms:created>
  <dcterms:modified xsi:type="dcterms:W3CDTF">2024-09-16T22:40:10Z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