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e841881dc6ad1c7d5ffbc86f8098a5338d659"/>
    <w:p>
      <w:pPr>
        <w:pStyle w:val="Heading3"/>
      </w:pPr>
      <w:r>
        <w:t xml:space="preserve">Измайловская межрайонная прокуратура разъясняет, Уточнен порядок федерального государственного контроля (надзора) в области производства и оборота этилового спирта, алкогольной и спиртосодержащей продукции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Постановлением Правительства Российской Федерации от 29.02.2024 № 240 предусмотрено, что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>
      <w:pPr>
        <w:pStyle w:val="BodyText"/>
      </w:pPr>
      <w:r>
        <w:t xml:space="preserve">При этом допускается проведение в течение календарного месяца не более 10 контрольных (надзорных) мероприятий в виде выборочного контроля без согласования с органами прокуратуры.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http://v-izm.mos.ru/presscenter/news/detail/12324696.html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32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2025-05-26T23:20:00Z</dcterms:created>
  <dcterms:modified xsi:type="dcterms:W3CDTF">2025-05-26T23:20:00Z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