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52a01131226b12e1d1098bef874c947a1f74e"/>
    <w:p>
      <w:pPr>
        <w:pStyle w:val="Heading3"/>
      </w:pPr>
      <w:r>
        <w:t xml:space="preserve">Измайловская межрайонная прокуратура разъясняет, установлены новые требования к антитеррористической защищенности объектов (территорий) промышленности, находящихся в ведении или относящихся к сфере деятельности Минпромторга России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Постановлением Правительства Российской Федерации от 01.03.2024</w:t>
      </w:r>
      <w:r>
        <w:br/>
      </w:r>
      <w:r>
        <w:t xml:space="preserve">№ 258 установлены новые требования к антитеррористической защищенности объектов (территорий) промышленности, находящихся в ведении или относящихся к сфере деятельности Минпромторга России.</w:t>
      </w:r>
    </w:p>
    <w:p>
      <w:pPr>
        <w:pStyle w:val="BodyText"/>
      </w:pPr>
      <w:r>
        <w:t xml:space="preserve">Утверждена форма паспорта безопасности таких объектов (территорий).</w:t>
      </w:r>
    </w:p>
    <w:p>
      <w:pPr>
        <w:pStyle w:val="BodyText"/>
      </w:pPr>
      <w:r>
        <w:t xml:space="preserve">Ранее оформленные паспорта безопасности объектов (территорий) промышленности действуют в течение 3 лет со дня их утверждения.</w:t>
      </w:r>
    </w:p>
    <w:p>
      <w:pPr>
        <w:pStyle w:val="BodyText"/>
      </w:pPr>
      <w:r>
        <w:t xml:space="preserve">Признаны утратившими силу акты Правительства, изданные ранее для регулирования аналогичных правоотношений.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http://v-izm.mos.ru/presscenter/news/detail/12324693.html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2024-04-29T08:49:00Z</dcterms:created>
  <dcterms:modified xsi:type="dcterms:W3CDTF">2024-04-29T08:49:00Z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