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1881ac2b138e08fe5167dc39cf91647d36e56"/>
    <w:p>
      <w:pPr>
        <w:pStyle w:val="Heading3"/>
      </w:pPr>
      <w:r>
        <w:t xml:space="preserve">Измайловская межрайонная прокуратура разъясняет, обновляется порядок представления электронной доверенности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Обновляется порядок представления электронной доверенности, подтверждающей полномочия физического лица действовать от имени кредитной организации, оператора платежной системы, некредитной финансовой организации и ИП, осуществляющих виды деятельности, указанные в ч. 1 ст. 76.1 Закона о Банке России.</w:t>
      </w:r>
    </w:p>
    <w:p>
      <w:pPr>
        <w:pStyle w:val="BodyText"/>
      </w:pPr>
      <w:r>
        <w:t xml:space="preserve">При подписании электронных документов усиленной квалифицированной электронной подписью представителя в пакете электронных документов представляется доверенность, подписанная усиленной квалифицированной электронной подписью указанных юридических лиц и ИП, за исключением установленных случаев.</w:t>
      </w:r>
    </w:p>
    <w:p>
      <w:pPr>
        <w:pStyle w:val="BodyText"/>
      </w:pPr>
      <w:r>
        <w:t xml:space="preserve">Представление доверенности обеспечивается одним из следующих способов:</w:t>
      </w:r>
    </w:p>
    <w:p>
      <w:pPr>
        <w:pStyle w:val="BodyText"/>
      </w:pPr>
      <w:r>
        <w:t xml:space="preserve">- посредством информационной системы Банка России;</w:t>
      </w:r>
    </w:p>
    <w:p>
      <w:pPr>
        <w:pStyle w:val="BodyText"/>
      </w:pPr>
      <w:r>
        <w:t xml:space="preserve">- посредством информационной системы аккредитованной доверенной третьей стороны;</w:t>
      </w:r>
    </w:p>
    <w:p>
      <w:pPr>
        <w:pStyle w:val="BodyText"/>
      </w:pPr>
      <w:r>
        <w:t xml:space="preserve">- посредством информационной системы, в которой подписан и из которой направляется электронный документ, подписанный усиленной квалифицированной электронной подписью представителя на основании такой доверенности;</w:t>
      </w:r>
    </w:p>
    <w:p>
      <w:pPr>
        <w:pStyle w:val="BodyText"/>
      </w:pPr>
      <w:r>
        <w:t xml:space="preserve">- посредством информационной системы федерального органа исполнительной власти или органа государственного внебюджетного фонда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http://v-izm.mos.ru/presscenter/news/detail/11678349.html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78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78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2024-07-08T15:05:25Z</dcterms:created>
  <dcterms:modified xsi:type="dcterms:W3CDTF">2024-07-08T15:05:25Z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