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c14e523b095317cb8d2e9132d8e294e0fabc6"/>
    <w:p>
      <w:pPr>
        <w:pStyle w:val="Heading3"/>
      </w:pPr>
      <w:r>
        <w:t xml:space="preserve">Измайловская межрайонная прокуратура разъясняет, установлены минимальные (стандартные) требования к условиям осуществления отдельных видов добровольного страхования при страховании вещи, принятой ломбардом в залог или на хранение.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t xml:space="preserve">Так, страховщик должен предусмотреть следующие условия страхования имущества граждан, за исключением транспортных средств, страхования средств наземного транспорта (за исключением средств железнодорожного транспорта):</w:t>
      </w:r>
    </w:p>
    <w:p>
      <w:pPr>
        <w:pStyle w:val="BodyText"/>
      </w:pPr>
      <w:r>
        <w:t xml:space="preserve">- добровольное страхование осуществляется на случай утраты и повреждения вещи, принятой ломбардом в залог или на хранение, в результате стихийного бедствия, возгорания (пожара), залива водой и противоправных действий третьих лиц (в том числе кражи, мелкого хищения, грабежа, разбоя);</w:t>
      </w:r>
    </w:p>
    <w:p>
      <w:pPr>
        <w:pStyle w:val="BodyText"/>
      </w:pPr>
      <w:r>
        <w:t xml:space="preserve">- в случае если в договоре добровольного страхования предусмотрено установление франшизы (условной или безусловной), ее размер не должен превышать 0,1% от страховой суммы.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http://v-izm.mos.ru/presscenter/news/detail/11650564.html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50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650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2024-03-19T19:14:41Z</dcterms:created>
  <dcterms:modified xsi:type="dcterms:W3CDTF">2024-03-19T19:14:41Z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