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94216c11cca6019a50b65ca7a0d8e3e85955f"/>
    <w:p>
      <w:pPr>
        <w:pStyle w:val="Heading3"/>
      </w:pPr>
      <w:r>
        <w:t xml:space="preserve">Измайловская межрайонная прокуратура разъясняет, Изменения в законодательства в сфере противодействия коррупции.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Постановлением Правительства Российской Федерации от 19.07.2022</w:t>
      </w:r>
      <w:r>
        <w:br/>
      </w:r>
      <w:r>
        <w:t xml:space="preserve">№ 1301 внесены изменения в акты Правительства Российской Федерации по вопросам противодействия коррупции.</w:t>
      </w:r>
    </w:p>
    <w:p>
      <w:pPr>
        <w:pStyle w:val="BodyText"/>
      </w:pPr>
      <w:r>
        <w:t xml:space="preserve">Согласно внесенным изменениям проверка полноты и достоверности сведений о доходах, расходах, об имуществе и обязательствах имущественного характера лиц, замещающих должности, которые обязаны предоставлять такие сведения, а также членов их семьи, соблюдения запретов и ограничений, требований о предотвращении конфликта интересов, будет осуществляться в том числе с использованием государственной информационной системы в области противодействия коррупции «Посейдон».</w:t>
      </w:r>
    </w:p>
    <w:p>
      <w:pPr>
        <w:pStyle w:val="BodyText"/>
      </w:pPr>
      <w:r>
        <w:t xml:space="preserve">Изменения предусматривают предварительное рассмотрение обращения гражданина, который замещал соответствующие должности в государственном органе, о даче ему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в его должностные обязанности входило управление вышеуказанными организациями, в течение 2 лет со дня увольнения с государственной службы. В ходе рассмотрения обращений могут быть запрошены необходимые документы, объяснения, по результатам - составляется мотивированное заключение.</w:t>
      </w:r>
    </w:p>
    <w:p>
      <w:pPr>
        <w:pStyle w:val="BodyText"/>
      </w:pPr>
      <w:r>
        <w:t xml:space="preserve">Кроме того, уточнен порядок определения стоимости подарка, полученного отдельными категориями госслужащих при исполнении своих служебных (должностных) обязанностей. В случае, если получен подарок, изготовленный из драгоценных металлов и (или) других драгоценных камней, и в отношении него не поступало заявление о выкупе, то данный подарок подлежит передаче в Государственный фонд драгоценных металлов и драгоценных камней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2024-08-18T12:34:10Z</dcterms:created>
  <dcterms:modified xsi:type="dcterms:W3CDTF">2024-08-18T12:34:10Z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