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db71413c59bd9b2412ab8e2fe685c9288a9c5"/>
    <w:p>
      <w:pPr>
        <w:pStyle w:val="Heading3"/>
      </w:pPr>
      <w:r>
        <w:t xml:space="preserve">Измайловская межрайонная прокуратура разъясняет, Особенности наследования автомобиля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Право собственности на принадлежавшее гражданину имущество, включая транспортные средства, переходит по наследству к другим лицам в соответствии с завещанием или законом. В соответствии со положениями Гражданского кодекса Российской Федерации для приобретения наследства наследник должен его принять.</w:t>
      </w:r>
    </w:p>
    <w:p>
      <w:pPr>
        <w:pStyle w:val="BodyText"/>
      </w:pPr>
      <w:r>
        <w:t xml:space="preserve">Принятое наследство признается принадлежащим наследнику со дня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когда такое право подлежит государственной регистрации.</w:t>
      </w:r>
    </w:p>
    <w:p>
      <w:pPr>
        <w:pStyle w:val="BodyText"/>
      </w:pPr>
      <w:r>
        <w:t xml:space="preserve">Согласно Федеральному закону от 10.12.1995 № 196-ФЗ «О безопасности дорожного движения» допуск транспортных средств, предназначенных для участия в дорожном движении на территории Российской Федерации, осуществляется путем постановки транспортного средства на государственный учет. При этом регистрация указанных транспортных средств носит учетный характер и не служит основанием для возникновения на них права собственности.</w:t>
      </w:r>
    </w:p>
    <w:p>
      <w:pPr>
        <w:pStyle w:val="BodyText"/>
      </w:pPr>
      <w:r>
        <w:t xml:space="preserve">Таким образом, отсутствие на момент смерти наследодателя регистрации принадлежащего ему транспортного средства в органах ГИБДД не является препятствием к его наследованию.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2024-03-19T22:57:48Z</dcterms:created>
  <dcterms:modified xsi:type="dcterms:W3CDTF">2024-03-19T22:57:48Z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