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6c284882e8f3ec374120b7a241192e6861b66"/>
    <w:p>
      <w:pPr>
        <w:pStyle w:val="Heading3"/>
      </w:pPr>
      <w:r>
        <w:t xml:space="preserve">Измайловской межрайонной прокуратурой утверждено обвинительное заключение в отношении ранее судимого 28-летнего жителя столицы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t xml:space="preserve">Он обвиняется в совершении преступления, предусмотренного ч. 1 ст. 158 (кража, то есть тайное хищение чужого имущества).</w:t>
      </w:r>
    </w:p>
    <w:p>
      <w:pPr>
        <w:pStyle w:val="BodyText"/>
      </w:pPr>
      <w:r>
        <w:t xml:space="preserve">Установлено, что обвиняемый, действуя из корыстных побуждений, 24.069.2021 находясь в одном из подъезде дома по улице Первомайская</w:t>
      </w:r>
      <w:r>
        <w:br/>
      </w:r>
      <w:r>
        <w:t xml:space="preserve">г. Москвы, тайно похитили велосипед стоимостью 12 000 рублей 00 копейки, причинив потерпевшему незначительный материальный ущерб на указанную сумму.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http://v-izm.mos.ru/presscenter/news/detail/11402360.html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4023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4023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2025-06-23T21:12:51Z</dcterms:created>
  <dcterms:modified xsi:type="dcterms:W3CDTF">2025-06-23T21:12:51Z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