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f9d00e6b23901784146c4fb8a72f87c456540"/>
    <w:p>
      <w:pPr>
        <w:pStyle w:val="Heading3"/>
      </w:pPr>
      <w:r>
        <w:t xml:space="preserve">Конкурс от 14 апреля от управы района Восточное Измайлово на включение в кадровый резерв для замещения должности государственной гражданской службы города Москвы – ведущий специалист комиссии по делам несовершеннолетних и за</w:t>
      </w:r>
    </w:p>
    <w:p>
      <w:pPr>
        <w:pStyle w:val="FirstParagraph"/>
      </w:pPr>
      <w:r>
        <w:t xml:space="preserve">14.04.2014</w:t>
      </w:r>
    </w:p>
    <w:p>
      <w:pPr>
        <w:pStyle w:val="BodyText"/>
      </w:pPr>
      <w:r>
        <w:rPr>
          <w:bCs/>
          <w:b/>
        </w:rPr>
        <w:t xml:space="preserve">Управой района Восточное Измайлово города Москвы</w:t>
      </w:r>
      <w:r>
        <w:t xml:space="preserve"> </w:t>
      </w:r>
      <w:r>
        <w:t xml:space="preserve">14 апреля 2014 года объявлен конкурс на включение в кадровый резерв для замещения должности государственной гражданской службы города Москвы –</w:t>
      </w:r>
      <w:r>
        <w:t xml:space="preserve"> </w:t>
      </w:r>
      <w:r>
        <w:rPr>
          <w:bCs/>
          <w:b/>
        </w:rPr>
        <w:t xml:space="preserve">ведущий специалист комиссии по делам несовершеннолетних и защите их прав.</w:t>
      </w:r>
    </w:p>
    <w:p>
      <w:pPr>
        <w:pStyle w:val="BodyText"/>
      </w:pPr>
      <w:r>
        <w:t xml:space="preserve">С информацией о порядке и условиях проведения конкурса можно ознакомится на Карьерном портале Правительства Москвы: </w:t>
      </w:r>
      <w:r>
        <w:rPr>
          <w:bCs/>
          <w:b/>
        </w:rPr>
        <w:t xml:space="preserve">http://talent.mos.ru/vacancy/7yT8FcDUYWybXVUItZaUNw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http://v-izm.mos.ru/presscenter/news/detail/1004042.html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004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004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2025-08-06T01:52:59Z</dcterms:created>
  <dcterms:modified xsi:type="dcterms:W3CDTF">2025-08-06T01:52:59Z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