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91735121064810472c3c7860c06a556b093f9ad"/>
    <w:p>
      <w:pPr>
        <w:pStyle w:val="Heading3"/>
      </w:pPr>
      <w:r>
        <w:t xml:space="preserve">В августе 1,3 миллиона работающих пенсионеров Московского региона получат проиндексированные пенсии</w:t>
      </w:r>
    </w:p>
    <w:p>
      <w:pPr>
        <w:pStyle w:val="FirstParagraph"/>
      </w:pPr>
      <w:r>
        <w:t xml:space="preserve">22.07.2025</w:t>
      </w:r>
    </w:p>
    <w:p>
      <w:pPr>
        <w:pStyle w:val="BodyText"/>
      </w:pPr>
      <w:r>
        <w:t xml:space="preserve">С 1 августа Отделение СФР по Москве и Московской области увеличит пенсии работающим пенсионерам. Повышение затронет 1,3 миллиона граждан, которые продолжали официально работать в 2024 году.</w:t>
      </w:r>
    </w:p>
    <w:p>
      <w:pPr>
        <w:pStyle w:val="BodyText"/>
      </w:pPr>
      <w:r>
        <w:t xml:space="preserve">Корректировка коснется работающих пенсионеров, получателей страховых пенсий, за которых работодатели уплачивали страховые взносы в 2024 году. Прибавка устанавливается индивидуально и зависит от заработной платы.</w:t>
      </w:r>
    </w:p>
    <w:p>
      <w:pPr>
        <w:pStyle w:val="BodyText"/>
      </w:pPr>
      <w:r>
        <w:t xml:space="preserve">Максимально за год можно получить три индивидуальных пенсионных коэффициента (ИПК). Посмотреть их можно самостоятельно в выписке из индивидуального лицевого счета, запросив ее через личный кабинет на портале госуслуг.</w:t>
      </w:r>
    </w:p>
    <w:p>
      <w:pPr>
        <w:pStyle w:val="BodyText"/>
      </w:pPr>
      <w:r>
        <w:t xml:space="preserve">Перерасчет будет произведен региональным Отделением СФР в беззаявительном порядке на основании трудового стажа и сведений о страховых взносах за последние 12 месяцев. Обращаться в Отделение СФР по Москве и Московской области не требуется. Увеличенная пенсия поступит в августе по обычному графику доставки.</w:t>
      </w:r>
    </w:p>
    <w:p>
      <w:pPr>
        <w:pStyle w:val="BodyText"/>
      </w:pPr>
      <w:r>
        <w:t xml:space="preserve">Если остались вопросы, всегда можно позвонить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ВКонтакте (</w:t>
      </w:r>
      <w:hyperlink r:id="rId20">
        <w:r>
          <w:rPr>
            <w:rStyle w:val="Hyperlink"/>
          </w:rPr>
          <w:t xml:space="preserve">https://vk.com/sfr.moskva.i.moskovskaya.oblast</w:t>
        </w:r>
      </w:hyperlink>
      <w:r>
        <w:t xml:space="preserve">), Одноклассники (</w:t>
      </w:r>
      <w:hyperlink r:id="rId21">
        <w:r>
          <w:rPr>
            <w:rStyle w:val="Hyperlink"/>
          </w:rPr>
          <w:t xml:space="preserve">https://ok.ru/sfr.msk.i.moskobl</w:t>
        </w:r>
      </w:hyperlink>
      <w:r>
        <w:t xml:space="preserve">), Телеграм (</w:t>
      </w:r>
      <w:hyperlink r:id="rId22">
        <w:r>
          <w:rPr>
            <w:rStyle w:val="Hyperlink"/>
          </w:rPr>
          <w:t xml:space="preserve">https://t.me/sfr_moskva_i_moskovskayaoblast</w:t>
        </w:r>
      </w:hyperlink>
      <w:r>
        <w:t xml:space="preserve">).</w:t>
      </w:r>
    </w:p>
    <w:bookmarkEnd w:id="23"/>
    <w:bookmarkStart w:id="26" w:name="section"/>
    <w:p>
      <w:pPr>
        <w:pStyle w:val="Heading1"/>
      </w:pP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http://v-izm.mos.ru/pension-background/detail/13116411.html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v-izm.mos.ru" TargetMode="External" /><Relationship Type="http://schemas.openxmlformats.org/officeDocument/2006/relationships/hyperlink" Id="rId24" Target="http://v-izm.mos.ru/pension-background/detail/13116411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v-izm.mos.ru" TargetMode="External" /><Relationship Type="http://schemas.openxmlformats.org/officeDocument/2006/relationships/hyperlink" Id="rId24" Target="http://v-izm.mos.ru/pension-background/detail/13116411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2025-07-22T07:34:55Z</dcterms:created>
  <dcterms:modified xsi:type="dcterms:W3CDTF">2025-07-22T07:34:55Z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