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Сегодня 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2022 году и определены приоритетные направления деятельности на следующий год.</w:t>
      </w:r>
      <w:r>
        <w:br/>
      </w: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представители спецслужб и правоохранительных органов.</w:t>
      </w:r>
      <w:r>
        <w:br/>
      </w:r>
      <w:r>
        <w:t xml:space="preserve">Открывая заседание, А.В. Бортников отметил, что в текущем году значительно увеличилось количество террористических проявлений, прежде всего в приграничных регионах, расположенных в ЦФО и ЮФО. Это связанно как с разведывательно-подрывной деятельностю украинских спецслужб, проводимой при поддержке стран Запада во главе с США, так и с попытками создания сторонниками международных террористических организаций законспирированных ячеек и совершения преступлений террористической направленности.</w:t>
      </w:r>
      <w:r>
        <w:br/>
      </w:r>
      <w:r>
        <w:t xml:space="preserve">В результате принятых мер в текущем году на стадии приготовления предотвращено 123 преступления террористической направленности, в том числе 64 теракта. Пресечена деятельность 68 законспирированных ячеек международных террористических организаций.</w:t>
      </w:r>
      <w:r>
        <w:br/>
      </w:r>
      <w:r>
        <w:t xml:space="preserve">При попытке пересечения Государственной границы в пунктах пропуска задержаны более четырехсот украинских националистов и лиц, совершивших военные преступления. Не допущен въезд в Российскую Федерацию 1026 лиц, причастных к террористической деятельности.</w:t>
      </w:r>
      <w:r>
        <w:br/>
      </w:r>
      <w:r>
        <w:t xml:space="preserve">Выявлено около 2,6 тыс. фактов незаконного оборота оружия, ликвидировано более 50 подпольных оружейных мастерских, пресечена деятельность 74 организованных преступных групп, занимавшихся изготовлением средств поражения.</w:t>
      </w:r>
      <w:r>
        <w:br/>
      </w:r>
      <w:r>
        <w:t xml:space="preserve">Принятыми мерами значительно сокращено ресурсное обеспечение террористов, заблокированы счета около трех тыс. граждан, причастных к финансированию терроризма, на общую сумму свыше 94 миллиона рублей.</w:t>
      </w:r>
      <w:r>
        <w:br/>
      </w:r>
      <w:r>
        <w:t xml:space="preserve">Совместная деятельность Роскомнадзора и правоохранительных органов способствовала усилению защиты информационного пространства от пропаганды идеологии терроризма. В сети «Интернет» заблокировано 5,7 тыс. и удалено более 25 тыс. материалов террористического содержания. С начала СВО заблокировано более 3,5 тыс. интернет-ресурсов, распространявших ложную информацию о спецоперации.</w:t>
      </w:r>
      <w:r>
        <w:br/>
      </w:r>
      <w:r>
        <w:t xml:space="preserve">В целях противодействия попыткам вовлечения несовершеннолетних в террористическую деятельность активизировано проведение адресных профилактических и воспитательных мероприятий во всех учебных заведениях страны. Проведено более 500 тыс. мероприятий, направленных на формирование у молодёжи патриотической позиции и критического отношения к украинской националистической пропаганде.</w:t>
      </w:r>
      <w:r>
        <w:br/>
      </w:r>
      <w:r>
        <w:t xml:space="preserve">Внимание участников заседания было обращено на необходимость в условиях нарастания угроз совершения диверсионно-террористических актов обеспечить надежную антитеррористическую защиту объектов, прежде всего, социально значимых, а также объектов промышленности, атомного, топливно-энергетического и транспортного комплексов.</w:t>
      </w:r>
      <w:r>
        <w:br/>
      </w:r>
      <w:r>
        <w:t xml:space="preserve">Председателем НАК указано на необходимость непосредственного участия руководителей всех уровней в выработке и реализации мер по совершенствованию управленческой деятельности в сфере противодействия терроризму, осуществлении действенного контроля за ходом их выполнения.</w:t>
      </w:r>
      <w:r>
        <w:br/>
      </w:r>
      <w:r>
        <w:t xml:space="preserve">В результате обсуждения выработаны дополнительные меры, направленные на повышение эффективности противодействия террористическим угрозам в условиях проведения специальной военной операции.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http://v-izm.mos.ru/counter-terrorism/prevention-of-terrorism-and-extremism/detail/11380882.html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2025-03-29T01:22:57Z</dcterms:created>
  <dcterms:modified xsi:type="dcterms:W3CDTF">2025-03-29T01:22:57Z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